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49FAA" w14:textId="1D9FD9B9" w:rsidR="00C5275E" w:rsidRPr="002B7FE0" w:rsidRDefault="00162589" w:rsidP="002B7FE0">
      <w:pPr>
        <w:jc w:val="both"/>
        <w:rPr>
          <w:b/>
          <w:sz w:val="28"/>
          <w:szCs w:val="28"/>
        </w:rPr>
      </w:pPr>
      <w:r w:rsidRPr="002B7FE0">
        <w:rPr>
          <w:b/>
          <w:sz w:val="28"/>
          <w:szCs w:val="28"/>
        </w:rPr>
        <w:t xml:space="preserve">Verbale del </w:t>
      </w:r>
      <w:r w:rsidR="00C5275E" w:rsidRPr="002B7FE0">
        <w:rPr>
          <w:b/>
          <w:sz w:val="28"/>
          <w:szCs w:val="28"/>
        </w:rPr>
        <w:t>PREMIO PER LA TRADUZIONE POETICA</w:t>
      </w:r>
      <w:r w:rsidRPr="002B7FE0">
        <w:rPr>
          <w:b/>
          <w:sz w:val="28"/>
          <w:szCs w:val="28"/>
        </w:rPr>
        <w:t xml:space="preserve"> (edizione 201</w:t>
      </w:r>
      <w:r w:rsidR="00DE6581" w:rsidRPr="002B7FE0">
        <w:rPr>
          <w:b/>
          <w:sz w:val="28"/>
          <w:szCs w:val="28"/>
        </w:rPr>
        <w:t>3</w:t>
      </w:r>
      <w:r w:rsidRPr="002B7FE0">
        <w:rPr>
          <w:b/>
          <w:sz w:val="28"/>
          <w:szCs w:val="28"/>
        </w:rPr>
        <w:t xml:space="preserve">) bandito dal </w:t>
      </w:r>
      <w:r w:rsidR="00C5275E" w:rsidRPr="002B7FE0">
        <w:rPr>
          <w:b/>
          <w:sz w:val="28"/>
          <w:szCs w:val="28"/>
        </w:rPr>
        <w:t>Dipartimento di Lingue, Letterature e Culture Moderne (LILEC)</w:t>
      </w:r>
      <w:r w:rsidRPr="002B7FE0">
        <w:rPr>
          <w:b/>
          <w:sz w:val="28"/>
          <w:szCs w:val="28"/>
        </w:rPr>
        <w:t xml:space="preserve">, dal </w:t>
      </w:r>
      <w:r w:rsidR="00C5275E" w:rsidRPr="002B7FE0">
        <w:rPr>
          <w:b/>
          <w:sz w:val="28"/>
          <w:szCs w:val="28"/>
        </w:rPr>
        <w:t>Centro di Poesia Contemporanea dell</w:t>
      </w:r>
      <w:r w:rsidR="00EB1A22">
        <w:rPr>
          <w:b/>
          <w:sz w:val="28"/>
          <w:szCs w:val="28"/>
        </w:rPr>
        <w:t>’</w:t>
      </w:r>
      <w:r w:rsidR="00C5275E" w:rsidRPr="002B7FE0">
        <w:rPr>
          <w:b/>
          <w:sz w:val="28"/>
          <w:szCs w:val="28"/>
        </w:rPr>
        <w:t>Università di Bologna</w:t>
      </w:r>
      <w:r w:rsidR="00F023B5" w:rsidRPr="002B7FE0">
        <w:rPr>
          <w:b/>
          <w:sz w:val="28"/>
          <w:szCs w:val="28"/>
        </w:rPr>
        <w:t xml:space="preserve"> e dalla</w:t>
      </w:r>
      <w:r w:rsidRPr="002B7FE0">
        <w:rPr>
          <w:b/>
          <w:sz w:val="28"/>
          <w:szCs w:val="28"/>
        </w:rPr>
        <w:t xml:space="preserve"> </w:t>
      </w:r>
      <w:r w:rsidR="00C5275E" w:rsidRPr="002B7FE0">
        <w:rPr>
          <w:b/>
          <w:sz w:val="28"/>
          <w:szCs w:val="28"/>
        </w:rPr>
        <w:t>Fondazione Universitaria San Pellegrino (Scuola Superiore Mediatori Linguistici) di Misano Adriatico.</w:t>
      </w:r>
    </w:p>
    <w:p w14:paraId="283E2848" w14:textId="77777777" w:rsidR="00C5275E" w:rsidRPr="002B7FE0" w:rsidRDefault="00C5275E" w:rsidP="002B7FE0">
      <w:pPr>
        <w:jc w:val="both"/>
        <w:rPr>
          <w:b/>
          <w:sz w:val="28"/>
          <w:szCs w:val="28"/>
        </w:rPr>
      </w:pPr>
    </w:p>
    <w:p w14:paraId="1CFDF7E4" w14:textId="739AC7C8" w:rsidR="00D526C4" w:rsidRPr="002B7FE0" w:rsidRDefault="00D526C4" w:rsidP="002B7FE0">
      <w:pPr>
        <w:jc w:val="both"/>
        <w:rPr>
          <w:sz w:val="28"/>
          <w:szCs w:val="28"/>
          <w:u w:val="single"/>
        </w:rPr>
      </w:pPr>
      <w:r w:rsidRPr="002B7FE0">
        <w:rPr>
          <w:sz w:val="28"/>
          <w:szCs w:val="28"/>
          <w:u w:val="single"/>
        </w:rPr>
        <w:t xml:space="preserve">Sezione A (Premio per libri editi da </w:t>
      </w:r>
      <w:r w:rsidR="00DE6581" w:rsidRPr="002B7FE0">
        <w:rPr>
          <w:sz w:val="28"/>
          <w:szCs w:val="28"/>
          <w:u w:val="single"/>
        </w:rPr>
        <w:t>gennaio 2011 a giugno 2012</w:t>
      </w:r>
      <w:r w:rsidR="007C0522" w:rsidRPr="002B7FE0">
        <w:rPr>
          <w:sz w:val="28"/>
          <w:szCs w:val="28"/>
          <w:u w:val="single"/>
        </w:rPr>
        <w:t>)</w:t>
      </w:r>
      <w:r w:rsidRPr="002B7FE0">
        <w:rPr>
          <w:sz w:val="28"/>
          <w:szCs w:val="28"/>
          <w:u w:val="single"/>
        </w:rPr>
        <w:t>.</w:t>
      </w:r>
    </w:p>
    <w:p w14:paraId="04993FEA" w14:textId="0E1028E8" w:rsidR="00693D68" w:rsidRPr="002B7FE0" w:rsidRDefault="00693D68" w:rsidP="002B7FE0">
      <w:pPr>
        <w:jc w:val="both"/>
        <w:rPr>
          <w:sz w:val="28"/>
          <w:szCs w:val="28"/>
        </w:rPr>
      </w:pPr>
    </w:p>
    <w:p w14:paraId="1C53FF9D" w14:textId="5827F785" w:rsidR="00693D68" w:rsidRPr="002B7FE0" w:rsidRDefault="00DF785F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 xml:space="preserve">Alla data di scadenza del 15 </w:t>
      </w:r>
      <w:r w:rsidR="00AB5121" w:rsidRPr="002B7FE0">
        <w:rPr>
          <w:sz w:val="28"/>
          <w:szCs w:val="28"/>
        </w:rPr>
        <w:t>marzo 2013</w:t>
      </w:r>
      <w:r w:rsidRPr="002B7FE0">
        <w:rPr>
          <w:sz w:val="28"/>
          <w:szCs w:val="28"/>
        </w:rPr>
        <w:t xml:space="preserve"> s</w:t>
      </w:r>
      <w:r w:rsidR="00BD06BA" w:rsidRPr="002B7FE0">
        <w:rPr>
          <w:sz w:val="28"/>
          <w:szCs w:val="28"/>
        </w:rPr>
        <w:t>ono pervenuti</w:t>
      </w:r>
      <w:r w:rsidR="007F4909" w:rsidRPr="002B7FE0">
        <w:rPr>
          <w:sz w:val="28"/>
          <w:szCs w:val="28"/>
        </w:rPr>
        <w:t xml:space="preserve"> alla Segreteria del Premio</w:t>
      </w:r>
      <w:r w:rsidR="007825B7" w:rsidRPr="002B7FE0">
        <w:rPr>
          <w:sz w:val="28"/>
          <w:szCs w:val="28"/>
        </w:rPr>
        <w:t xml:space="preserve"> i seguenti volumi:</w:t>
      </w:r>
    </w:p>
    <w:p w14:paraId="680197C0" w14:textId="77777777" w:rsidR="00DF785F" w:rsidRPr="002B7FE0" w:rsidRDefault="00DF785F" w:rsidP="002B7FE0">
      <w:pPr>
        <w:jc w:val="both"/>
        <w:rPr>
          <w:sz w:val="28"/>
          <w:szCs w:val="28"/>
        </w:rPr>
      </w:pPr>
    </w:p>
    <w:p w14:paraId="4C4273BA" w14:textId="325A62CF" w:rsidR="00EC55F3" w:rsidRPr="002B7FE0" w:rsidRDefault="00EC55F3" w:rsidP="00EC5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5F3">
        <w:rPr>
          <w:b/>
          <w:sz w:val="28"/>
          <w:szCs w:val="28"/>
        </w:rPr>
        <w:t>AA.VV.</w:t>
      </w:r>
      <w:r w:rsidRPr="00EC55F3">
        <w:rPr>
          <w:sz w:val="28"/>
          <w:szCs w:val="28"/>
        </w:rPr>
        <w:t xml:space="preserve">, </w:t>
      </w:r>
      <w:r w:rsidRPr="00EC55F3">
        <w:rPr>
          <w:i/>
          <w:sz w:val="28"/>
          <w:szCs w:val="28"/>
        </w:rPr>
        <w:t>Poesia del Novecento euro-occidentale e americana</w:t>
      </w:r>
      <w:r w:rsidRPr="002B7FE0">
        <w:rPr>
          <w:sz w:val="28"/>
          <w:szCs w:val="28"/>
        </w:rPr>
        <w:t>, a cura di Sandro Boato, «In Forma di Parole», n. 1, genn.-febbr.-marzo 2011 (tradd. dal francese e dallo spagnolo)</w:t>
      </w:r>
      <w:r w:rsidR="007923F9">
        <w:rPr>
          <w:sz w:val="28"/>
          <w:szCs w:val="28"/>
        </w:rPr>
        <w:t>.</w:t>
      </w:r>
    </w:p>
    <w:p w14:paraId="58C101EE" w14:textId="1C1908E2" w:rsidR="00487DBB" w:rsidRPr="002B7FE0" w:rsidRDefault="00487DBB" w:rsidP="0048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FE0">
        <w:rPr>
          <w:sz w:val="28"/>
          <w:szCs w:val="28"/>
        </w:rPr>
        <w:t xml:space="preserve">Eva </w:t>
      </w:r>
      <w:r w:rsidRPr="00CC32CE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OURKE</w:t>
      </w:r>
      <w:r w:rsidRPr="002B7FE0">
        <w:rPr>
          <w:sz w:val="28"/>
          <w:szCs w:val="28"/>
        </w:rPr>
        <w:t xml:space="preserve">, </w:t>
      </w:r>
      <w:r w:rsidRPr="002B7FE0">
        <w:rPr>
          <w:i/>
          <w:sz w:val="28"/>
          <w:szCs w:val="28"/>
        </w:rPr>
        <w:t>Piano</w:t>
      </w:r>
      <w:r w:rsidRPr="002B7FE0">
        <w:rPr>
          <w:sz w:val="28"/>
          <w:szCs w:val="28"/>
        </w:rPr>
        <w:t>, a cura di Chiara De Luca, Kolibris, Bologna, 2011 (trad. dall</w:t>
      </w:r>
      <w:r w:rsidR="00EB1A22">
        <w:rPr>
          <w:sz w:val="28"/>
          <w:szCs w:val="28"/>
        </w:rPr>
        <w:t>’</w:t>
      </w:r>
      <w:r w:rsidRPr="002B7FE0">
        <w:rPr>
          <w:sz w:val="28"/>
          <w:szCs w:val="28"/>
        </w:rPr>
        <w:t>inglese)</w:t>
      </w:r>
      <w:r w:rsidR="00723F35">
        <w:rPr>
          <w:sz w:val="28"/>
          <w:szCs w:val="28"/>
        </w:rPr>
        <w:t>.</w:t>
      </w:r>
    </w:p>
    <w:p w14:paraId="08D82127" w14:textId="23782440" w:rsidR="00970114" w:rsidRPr="002B7FE0" w:rsidRDefault="00970114" w:rsidP="00970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FE0">
        <w:rPr>
          <w:sz w:val="28"/>
          <w:szCs w:val="28"/>
        </w:rPr>
        <w:t xml:space="preserve">Billy </w:t>
      </w:r>
      <w:r w:rsidRPr="00CC32C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OLLINS</w:t>
      </w:r>
      <w:r w:rsidRPr="002B7FE0">
        <w:rPr>
          <w:sz w:val="28"/>
          <w:szCs w:val="28"/>
        </w:rPr>
        <w:t xml:space="preserve">, </w:t>
      </w:r>
      <w:r w:rsidRPr="002B7FE0">
        <w:rPr>
          <w:i/>
          <w:sz w:val="28"/>
          <w:szCs w:val="28"/>
        </w:rPr>
        <w:t>Balistica</w:t>
      </w:r>
      <w:r w:rsidRPr="002B7FE0">
        <w:rPr>
          <w:sz w:val="28"/>
          <w:szCs w:val="28"/>
        </w:rPr>
        <w:t>, a cura di Franco Nasi, Fazi Editore, Roma, 2011 (trad. dall</w:t>
      </w:r>
      <w:r w:rsidR="00EB1A22">
        <w:rPr>
          <w:sz w:val="28"/>
          <w:szCs w:val="28"/>
        </w:rPr>
        <w:t>’</w:t>
      </w:r>
      <w:r w:rsidRPr="002B7FE0">
        <w:rPr>
          <w:sz w:val="28"/>
          <w:szCs w:val="28"/>
        </w:rPr>
        <w:t>inglese)</w:t>
      </w:r>
      <w:r w:rsidR="001F7999">
        <w:rPr>
          <w:sz w:val="28"/>
          <w:szCs w:val="28"/>
        </w:rPr>
        <w:t>.</w:t>
      </w:r>
    </w:p>
    <w:p w14:paraId="5447B4A6" w14:textId="6622A12F" w:rsidR="00970114" w:rsidRPr="002B7FE0" w:rsidRDefault="00970114" w:rsidP="00970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FE0">
        <w:rPr>
          <w:sz w:val="28"/>
          <w:szCs w:val="28"/>
        </w:rPr>
        <w:t xml:space="preserve">Hilde </w:t>
      </w:r>
      <w:r w:rsidRPr="00141297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OMIN</w:t>
      </w:r>
      <w:r w:rsidRPr="002B7FE0">
        <w:rPr>
          <w:sz w:val="28"/>
          <w:szCs w:val="28"/>
        </w:rPr>
        <w:t xml:space="preserve">, </w:t>
      </w:r>
      <w:r w:rsidRPr="002B7FE0">
        <w:rPr>
          <w:i/>
          <w:sz w:val="28"/>
          <w:szCs w:val="28"/>
        </w:rPr>
        <w:t>Poesie scelte</w:t>
      </w:r>
      <w:r w:rsidRPr="002B7FE0">
        <w:rPr>
          <w:sz w:val="28"/>
          <w:szCs w:val="28"/>
        </w:rPr>
        <w:t>, a cura di Paola Del Zoppo e Ondina Granato, Del Vecchio Editore, Roma, 2011 (trad. dal tedesco)</w:t>
      </w:r>
      <w:r w:rsidR="00A429F9">
        <w:rPr>
          <w:sz w:val="28"/>
          <w:szCs w:val="28"/>
        </w:rPr>
        <w:t>.</w:t>
      </w:r>
    </w:p>
    <w:p w14:paraId="70FD2960" w14:textId="77777777" w:rsidR="00970114" w:rsidRPr="002B7FE0" w:rsidRDefault="00970114" w:rsidP="00970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FE0">
        <w:rPr>
          <w:sz w:val="28"/>
          <w:szCs w:val="28"/>
        </w:rPr>
        <w:t xml:space="preserve">Krzystof </w:t>
      </w:r>
      <w:r w:rsidRPr="00BE4CD6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ARASEK</w:t>
      </w:r>
      <w:r w:rsidRPr="002B7FE0">
        <w:rPr>
          <w:sz w:val="28"/>
          <w:szCs w:val="28"/>
        </w:rPr>
        <w:t xml:space="preserve">, </w:t>
      </w:r>
      <w:r w:rsidRPr="002B7FE0">
        <w:rPr>
          <w:i/>
          <w:sz w:val="28"/>
          <w:szCs w:val="28"/>
        </w:rPr>
        <w:t>Fuochi di Bengala e altre poesie</w:t>
      </w:r>
      <w:r w:rsidRPr="002B7FE0">
        <w:rPr>
          <w:sz w:val="28"/>
          <w:szCs w:val="28"/>
        </w:rPr>
        <w:t>, a cura di Leonardo Masi, Il Ponte del Sale, Rovigo, aprile 2011 (trad. dal polacco)</w:t>
      </w:r>
      <w:r>
        <w:rPr>
          <w:sz w:val="28"/>
          <w:szCs w:val="28"/>
        </w:rPr>
        <w:t>.</w:t>
      </w:r>
    </w:p>
    <w:p w14:paraId="11800D12" w14:textId="205381B0" w:rsidR="00970114" w:rsidRPr="002B7FE0" w:rsidRDefault="00970114" w:rsidP="00970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FE0">
        <w:rPr>
          <w:sz w:val="28"/>
          <w:szCs w:val="28"/>
        </w:rPr>
        <w:t xml:space="preserve">Nikolaus </w:t>
      </w:r>
      <w:r w:rsidRPr="00577009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ENAU</w:t>
      </w:r>
      <w:r w:rsidRPr="002B7FE0">
        <w:rPr>
          <w:sz w:val="28"/>
          <w:szCs w:val="28"/>
        </w:rPr>
        <w:t xml:space="preserve">, </w:t>
      </w:r>
      <w:r w:rsidRPr="002B7FE0">
        <w:rPr>
          <w:i/>
          <w:sz w:val="28"/>
          <w:szCs w:val="28"/>
        </w:rPr>
        <w:t>Trascorso è il dolce incanto della vita</w:t>
      </w:r>
      <w:r w:rsidRPr="002B7FE0">
        <w:rPr>
          <w:sz w:val="28"/>
          <w:szCs w:val="28"/>
        </w:rPr>
        <w:t>, a cura di Gianni Bertocchini, Ariele, Milano 2011 (trad. dal tedesco)</w:t>
      </w:r>
      <w:r w:rsidR="00FC6DF5">
        <w:rPr>
          <w:sz w:val="28"/>
          <w:szCs w:val="28"/>
        </w:rPr>
        <w:t>.</w:t>
      </w:r>
    </w:p>
    <w:p w14:paraId="7DF753DD" w14:textId="523B510D" w:rsidR="00AB5121" w:rsidRPr="002B7FE0" w:rsidRDefault="002A1CE2" w:rsidP="002B7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121" w:rsidRPr="002B7FE0">
        <w:rPr>
          <w:sz w:val="28"/>
          <w:szCs w:val="28"/>
        </w:rPr>
        <w:t xml:space="preserve">Eugeniusz </w:t>
      </w:r>
      <w:r w:rsidR="00AB5121" w:rsidRPr="002A1CE2">
        <w:rPr>
          <w:b/>
          <w:sz w:val="28"/>
          <w:szCs w:val="28"/>
        </w:rPr>
        <w:t>T</w:t>
      </w:r>
      <w:r w:rsidR="00856FED">
        <w:rPr>
          <w:b/>
          <w:sz w:val="28"/>
          <w:szCs w:val="28"/>
        </w:rPr>
        <w:t>KACZYSZYN-DYCKI</w:t>
      </w:r>
      <w:r w:rsidR="00AB5121" w:rsidRPr="002B7FE0">
        <w:rPr>
          <w:sz w:val="28"/>
          <w:szCs w:val="28"/>
        </w:rPr>
        <w:t xml:space="preserve">, </w:t>
      </w:r>
      <w:r w:rsidR="00AB5121" w:rsidRPr="002B7FE0">
        <w:rPr>
          <w:i/>
          <w:sz w:val="28"/>
          <w:szCs w:val="28"/>
        </w:rPr>
        <w:t>Una notizia dell</w:t>
      </w:r>
      <w:r w:rsidR="00EB1A22">
        <w:rPr>
          <w:i/>
          <w:sz w:val="28"/>
          <w:szCs w:val="28"/>
        </w:rPr>
        <w:t>’</w:t>
      </w:r>
      <w:r w:rsidR="00AB5121" w:rsidRPr="002B7FE0">
        <w:rPr>
          <w:i/>
          <w:sz w:val="28"/>
          <w:szCs w:val="28"/>
        </w:rPr>
        <w:t>ultimo minuto</w:t>
      </w:r>
      <w:r w:rsidR="00AB5121" w:rsidRPr="002B7FE0">
        <w:rPr>
          <w:sz w:val="28"/>
          <w:szCs w:val="28"/>
        </w:rPr>
        <w:t>, a cura di Alessandro Amenta e Lorenzo Costantino, Il Ponte del Sale, Rovigo, aprile 2011 (trad. dal polacco)</w:t>
      </w:r>
      <w:r w:rsidR="00D02880">
        <w:rPr>
          <w:sz w:val="28"/>
          <w:szCs w:val="28"/>
        </w:rPr>
        <w:t>.</w:t>
      </w:r>
    </w:p>
    <w:p w14:paraId="18B21FD6" w14:textId="6DE7A6F0" w:rsidR="00970114" w:rsidRPr="002B7FE0" w:rsidRDefault="00970114" w:rsidP="00970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FE0">
        <w:rPr>
          <w:sz w:val="28"/>
          <w:szCs w:val="28"/>
        </w:rPr>
        <w:t xml:space="preserve">Adrienne </w:t>
      </w:r>
      <w:r w:rsidRPr="00135B7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ICH</w:t>
      </w:r>
      <w:r w:rsidRPr="002B7FE0">
        <w:rPr>
          <w:sz w:val="28"/>
          <w:szCs w:val="28"/>
        </w:rPr>
        <w:t xml:space="preserve">, </w:t>
      </w:r>
      <w:r w:rsidRPr="002B7FE0">
        <w:rPr>
          <w:i/>
          <w:sz w:val="28"/>
          <w:szCs w:val="28"/>
        </w:rPr>
        <w:t>La guida nel labirinto</w:t>
      </w:r>
      <w:r w:rsidRPr="002B7FE0">
        <w:rPr>
          <w:sz w:val="28"/>
          <w:szCs w:val="28"/>
        </w:rPr>
        <w:t>, a cura di Maria Luisa Vezzali, Crocetti Editore, Milano, 2011 (trad. dall</w:t>
      </w:r>
      <w:r w:rsidR="00EB1A22">
        <w:rPr>
          <w:sz w:val="28"/>
          <w:szCs w:val="28"/>
        </w:rPr>
        <w:t>’</w:t>
      </w:r>
      <w:r w:rsidRPr="002B7FE0">
        <w:rPr>
          <w:sz w:val="28"/>
          <w:szCs w:val="28"/>
        </w:rPr>
        <w:t>inglese)</w:t>
      </w:r>
      <w:r>
        <w:rPr>
          <w:sz w:val="28"/>
          <w:szCs w:val="28"/>
        </w:rPr>
        <w:t>.</w:t>
      </w:r>
    </w:p>
    <w:p w14:paraId="13CD5DC4" w14:textId="77777777" w:rsidR="00970114" w:rsidRPr="002B7FE0" w:rsidRDefault="00970114" w:rsidP="00970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FE0">
        <w:rPr>
          <w:sz w:val="28"/>
          <w:szCs w:val="28"/>
        </w:rPr>
        <w:t xml:space="preserve">Floarea </w:t>
      </w:r>
      <w:r w:rsidRPr="00BE4CD6">
        <w:rPr>
          <w:b/>
          <w:color w:val="000000"/>
          <w:sz w:val="28"/>
          <w:szCs w:val="28"/>
        </w:rPr>
        <w:t>Ţ</w:t>
      </w:r>
      <w:r>
        <w:rPr>
          <w:b/>
          <w:sz w:val="28"/>
          <w:szCs w:val="28"/>
        </w:rPr>
        <w:t>U</w:t>
      </w:r>
      <w:r w:rsidRPr="00BE4CD6">
        <w:rPr>
          <w:b/>
          <w:color w:val="000000"/>
          <w:sz w:val="28"/>
          <w:szCs w:val="28"/>
        </w:rPr>
        <w:t>Ţ</w:t>
      </w:r>
      <w:r>
        <w:rPr>
          <w:b/>
          <w:color w:val="000000"/>
          <w:sz w:val="28"/>
          <w:szCs w:val="28"/>
        </w:rPr>
        <w:t>UIANU</w:t>
      </w:r>
      <w:r w:rsidRPr="002B7FE0">
        <w:rPr>
          <w:sz w:val="28"/>
          <w:szCs w:val="28"/>
        </w:rPr>
        <w:t xml:space="preserve">, </w:t>
      </w:r>
      <w:r w:rsidRPr="002B7FE0">
        <w:rPr>
          <w:i/>
          <w:sz w:val="28"/>
          <w:szCs w:val="28"/>
        </w:rPr>
        <w:t>Non voglio invecchiare nel sonno</w:t>
      </w:r>
      <w:r w:rsidRPr="002B7FE0">
        <w:rPr>
          <w:sz w:val="28"/>
          <w:szCs w:val="28"/>
        </w:rPr>
        <w:t>, a cura di Angela Tarantino, Moby Dick, Faenza, aprile 2012 (trad. dal rumeno)</w:t>
      </w:r>
      <w:r>
        <w:rPr>
          <w:sz w:val="28"/>
          <w:szCs w:val="28"/>
        </w:rPr>
        <w:t>.</w:t>
      </w:r>
    </w:p>
    <w:p w14:paraId="058B473C" w14:textId="2C3CC5C5" w:rsidR="00AB5121" w:rsidRPr="002B7FE0" w:rsidRDefault="00034ECF" w:rsidP="002B7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121" w:rsidRPr="002B7FE0">
        <w:rPr>
          <w:sz w:val="28"/>
          <w:szCs w:val="28"/>
        </w:rPr>
        <w:t xml:space="preserve">Jesús </w:t>
      </w:r>
      <w:r w:rsidR="00AB5121" w:rsidRPr="00D42F0D">
        <w:rPr>
          <w:b/>
          <w:sz w:val="28"/>
          <w:szCs w:val="28"/>
        </w:rPr>
        <w:t>U</w:t>
      </w:r>
      <w:r w:rsidR="00806E80">
        <w:rPr>
          <w:b/>
          <w:sz w:val="28"/>
          <w:szCs w:val="28"/>
        </w:rPr>
        <w:t>RZAGA</w:t>
      </w:r>
      <w:r w:rsidR="0017504F">
        <w:rPr>
          <w:b/>
          <w:sz w:val="28"/>
          <w:szCs w:val="28"/>
        </w:rPr>
        <w:t>S</w:t>
      </w:r>
      <w:r w:rsidR="00806E80">
        <w:rPr>
          <w:b/>
          <w:sz w:val="28"/>
          <w:szCs w:val="28"/>
        </w:rPr>
        <w:t>TI</w:t>
      </w:r>
      <w:r w:rsidR="00AB5121" w:rsidRPr="002B7FE0">
        <w:rPr>
          <w:sz w:val="28"/>
          <w:szCs w:val="28"/>
        </w:rPr>
        <w:t xml:space="preserve">, </w:t>
      </w:r>
      <w:r w:rsidR="00AB5121" w:rsidRPr="002B7FE0">
        <w:rPr>
          <w:i/>
          <w:sz w:val="28"/>
          <w:szCs w:val="28"/>
        </w:rPr>
        <w:t>L</w:t>
      </w:r>
      <w:r w:rsidR="00EB1A22">
        <w:rPr>
          <w:i/>
          <w:sz w:val="28"/>
          <w:szCs w:val="28"/>
        </w:rPr>
        <w:t>’</w:t>
      </w:r>
      <w:r w:rsidR="00AB5121" w:rsidRPr="002B7FE0">
        <w:rPr>
          <w:i/>
          <w:sz w:val="28"/>
          <w:szCs w:val="28"/>
        </w:rPr>
        <w:t>albero della tribù</w:t>
      </w:r>
      <w:r w:rsidR="00AB5121" w:rsidRPr="002B7FE0">
        <w:rPr>
          <w:sz w:val="28"/>
          <w:szCs w:val="28"/>
        </w:rPr>
        <w:t>, tradd. di Claudio Cinti e Silvia Raccampo, Il Ponte del Sale, Rovigo, marzo 2012 (trad. dallo spagnolo)</w:t>
      </w:r>
      <w:r w:rsidR="00E26C23">
        <w:rPr>
          <w:sz w:val="28"/>
          <w:szCs w:val="28"/>
        </w:rPr>
        <w:t>.</w:t>
      </w:r>
    </w:p>
    <w:p w14:paraId="381CC206" w14:textId="42ED7F63" w:rsidR="00AB5121" w:rsidRPr="002B7FE0" w:rsidRDefault="008E4114" w:rsidP="002B7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121" w:rsidRPr="002B7FE0">
        <w:rPr>
          <w:sz w:val="28"/>
          <w:szCs w:val="28"/>
        </w:rPr>
        <w:t xml:space="preserve">Zingonia </w:t>
      </w:r>
      <w:r w:rsidR="00AB5121" w:rsidRPr="008E4114">
        <w:rPr>
          <w:b/>
          <w:sz w:val="28"/>
          <w:szCs w:val="28"/>
        </w:rPr>
        <w:t>Z</w:t>
      </w:r>
      <w:r w:rsidR="00E26584">
        <w:rPr>
          <w:b/>
          <w:sz w:val="28"/>
          <w:szCs w:val="28"/>
        </w:rPr>
        <w:t>INGONE</w:t>
      </w:r>
      <w:r w:rsidR="00AB5121" w:rsidRPr="002B7FE0">
        <w:rPr>
          <w:sz w:val="28"/>
          <w:szCs w:val="28"/>
        </w:rPr>
        <w:t xml:space="preserve">, </w:t>
      </w:r>
      <w:r w:rsidR="00AB5121" w:rsidRPr="002B7FE0">
        <w:rPr>
          <w:i/>
          <w:sz w:val="28"/>
          <w:szCs w:val="28"/>
        </w:rPr>
        <w:t>L</w:t>
      </w:r>
      <w:r w:rsidR="00EB1A22">
        <w:rPr>
          <w:i/>
          <w:sz w:val="28"/>
          <w:szCs w:val="28"/>
        </w:rPr>
        <w:t>’</w:t>
      </w:r>
      <w:r w:rsidR="00AB5121" w:rsidRPr="002B7FE0">
        <w:rPr>
          <w:i/>
          <w:sz w:val="28"/>
          <w:szCs w:val="28"/>
        </w:rPr>
        <w:t>equilibrista dell</w:t>
      </w:r>
      <w:r w:rsidR="00EB1A22">
        <w:rPr>
          <w:i/>
          <w:sz w:val="28"/>
          <w:szCs w:val="28"/>
        </w:rPr>
        <w:t>’</w:t>
      </w:r>
      <w:r w:rsidR="00AB5121" w:rsidRPr="002B7FE0">
        <w:rPr>
          <w:i/>
          <w:sz w:val="28"/>
          <w:szCs w:val="28"/>
        </w:rPr>
        <w:t>oblio</w:t>
      </w:r>
      <w:r w:rsidR="00AB5121" w:rsidRPr="002B7FE0">
        <w:rPr>
          <w:sz w:val="28"/>
          <w:szCs w:val="28"/>
        </w:rPr>
        <w:t>, trad. dell</w:t>
      </w:r>
      <w:r w:rsidR="00EB1A22">
        <w:rPr>
          <w:sz w:val="28"/>
          <w:szCs w:val="28"/>
        </w:rPr>
        <w:t>’</w:t>
      </w:r>
      <w:r w:rsidR="00AB5121" w:rsidRPr="002B7FE0">
        <w:rPr>
          <w:sz w:val="28"/>
          <w:szCs w:val="28"/>
        </w:rPr>
        <w:t>Autrice e di Pietro Federico, Raffaelli Editore, Rimini 2011 (trad. dallo spagnolo)</w:t>
      </w:r>
      <w:r w:rsidR="00E26C23">
        <w:rPr>
          <w:sz w:val="28"/>
          <w:szCs w:val="28"/>
        </w:rPr>
        <w:t>.</w:t>
      </w:r>
    </w:p>
    <w:p w14:paraId="4B005FEA" w14:textId="77777777" w:rsidR="00C16304" w:rsidRPr="002B7FE0" w:rsidRDefault="00C16304" w:rsidP="002B7FE0">
      <w:pPr>
        <w:jc w:val="both"/>
        <w:rPr>
          <w:i/>
          <w:sz w:val="28"/>
          <w:szCs w:val="28"/>
        </w:rPr>
      </w:pPr>
      <w:bookmarkStart w:id="0" w:name="_GoBack"/>
      <w:bookmarkEnd w:id="0"/>
    </w:p>
    <w:p w14:paraId="2325A854" w14:textId="4DCB7E43" w:rsidR="00BD06BA" w:rsidRPr="002B7FE0" w:rsidRDefault="00BD06BA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>La giuria, composta da Stefano Arduini, Andrea Ceccherelli, Paola Maria Filippi, Giovanni Gentile Marchetti, Roberto Mulinacci, Alessandro Niero, Davide Rondoni, Gino Scatasta e Anna Soncini si è compiaciuta dell</w:t>
      </w:r>
      <w:r w:rsidR="00EB1A22">
        <w:rPr>
          <w:sz w:val="28"/>
          <w:szCs w:val="28"/>
        </w:rPr>
        <w:t>’</w:t>
      </w:r>
      <w:r w:rsidRPr="002B7FE0">
        <w:rPr>
          <w:sz w:val="28"/>
          <w:szCs w:val="28"/>
        </w:rPr>
        <w:t>ampia p</w:t>
      </w:r>
      <w:r w:rsidR="00994D6E" w:rsidRPr="002B7FE0">
        <w:rPr>
          <w:sz w:val="28"/>
          <w:szCs w:val="28"/>
        </w:rPr>
        <w:t>artecipazione</w:t>
      </w:r>
      <w:r w:rsidRPr="002B7FE0">
        <w:rPr>
          <w:sz w:val="28"/>
          <w:szCs w:val="28"/>
        </w:rPr>
        <w:t>.</w:t>
      </w:r>
    </w:p>
    <w:p w14:paraId="447A782F" w14:textId="11F11D52" w:rsidR="00D344DF" w:rsidRPr="002B7FE0" w:rsidRDefault="00BD06BA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>Subito dopo la scadenza per l</w:t>
      </w:r>
      <w:r w:rsidR="00EB1A22">
        <w:rPr>
          <w:sz w:val="28"/>
          <w:szCs w:val="28"/>
        </w:rPr>
        <w:t>’</w:t>
      </w:r>
      <w:r w:rsidRPr="002B7FE0">
        <w:rPr>
          <w:sz w:val="28"/>
          <w:szCs w:val="28"/>
        </w:rPr>
        <w:t xml:space="preserve">invio dei volumi su elencati, </w:t>
      </w:r>
      <w:r w:rsidR="000252F6" w:rsidRPr="002B7FE0">
        <w:rPr>
          <w:sz w:val="28"/>
          <w:szCs w:val="28"/>
        </w:rPr>
        <w:t>quest</w:t>
      </w:r>
      <w:r w:rsidR="00EB1A22">
        <w:rPr>
          <w:sz w:val="28"/>
          <w:szCs w:val="28"/>
        </w:rPr>
        <w:t>’</w:t>
      </w:r>
      <w:r w:rsidR="000252F6" w:rsidRPr="002B7FE0">
        <w:rPr>
          <w:sz w:val="28"/>
          <w:szCs w:val="28"/>
        </w:rPr>
        <w:t>ultimi</w:t>
      </w:r>
      <w:r w:rsidRPr="002B7FE0">
        <w:rPr>
          <w:sz w:val="28"/>
          <w:szCs w:val="28"/>
        </w:rPr>
        <w:t xml:space="preserve"> sono stati recapitati ai membri della </w:t>
      </w:r>
      <w:r w:rsidR="00956D3F" w:rsidRPr="002B7FE0">
        <w:rPr>
          <w:sz w:val="28"/>
          <w:szCs w:val="28"/>
        </w:rPr>
        <w:t>G</w:t>
      </w:r>
      <w:r w:rsidRPr="002B7FE0">
        <w:rPr>
          <w:sz w:val="28"/>
          <w:szCs w:val="28"/>
        </w:rPr>
        <w:t>iuria, secondo le loro specifiche competenze linguistiche.</w:t>
      </w:r>
      <w:r w:rsidR="000252F6" w:rsidRPr="002B7FE0">
        <w:rPr>
          <w:sz w:val="28"/>
          <w:szCs w:val="28"/>
        </w:rPr>
        <w:t xml:space="preserve"> </w:t>
      </w:r>
      <w:r w:rsidR="000E7EC0" w:rsidRPr="002B7FE0">
        <w:rPr>
          <w:sz w:val="28"/>
          <w:szCs w:val="28"/>
        </w:rPr>
        <w:t>Nel caso di</w:t>
      </w:r>
      <w:r w:rsidR="000252F6" w:rsidRPr="002B7FE0">
        <w:rPr>
          <w:sz w:val="28"/>
          <w:szCs w:val="28"/>
        </w:rPr>
        <w:t xml:space="preserve"> volumi tradotti da lingue fuori dall</w:t>
      </w:r>
      <w:r w:rsidR="000E7EC0" w:rsidRPr="002B7FE0">
        <w:rPr>
          <w:sz w:val="28"/>
          <w:szCs w:val="28"/>
        </w:rPr>
        <w:t>o spettro di competenze linguis</w:t>
      </w:r>
      <w:r w:rsidR="000252F6" w:rsidRPr="002B7FE0">
        <w:rPr>
          <w:sz w:val="28"/>
          <w:szCs w:val="28"/>
        </w:rPr>
        <w:t>t</w:t>
      </w:r>
      <w:r w:rsidR="000E7EC0" w:rsidRPr="002B7FE0">
        <w:rPr>
          <w:sz w:val="28"/>
          <w:szCs w:val="28"/>
        </w:rPr>
        <w:t>i</w:t>
      </w:r>
      <w:r w:rsidR="000252F6" w:rsidRPr="002B7FE0">
        <w:rPr>
          <w:sz w:val="28"/>
          <w:szCs w:val="28"/>
        </w:rPr>
        <w:t xml:space="preserve">che </w:t>
      </w:r>
      <w:r w:rsidR="000252F6" w:rsidRPr="002B7FE0">
        <w:rPr>
          <w:sz w:val="28"/>
          <w:szCs w:val="28"/>
        </w:rPr>
        <w:lastRenderedPageBreak/>
        <w:t xml:space="preserve">della </w:t>
      </w:r>
      <w:r w:rsidR="000501E1" w:rsidRPr="002B7FE0">
        <w:rPr>
          <w:sz w:val="28"/>
          <w:szCs w:val="28"/>
        </w:rPr>
        <w:t>G</w:t>
      </w:r>
      <w:r w:rsidR="000252F6" w:rsidRPr="002B7FE0">
        <w:rPr>
          <w:sz w:val="28"/>
          <w:szCs w:val="28"/>
        </w:rPr>
        <w:t xml:space="preserve">iuria, essa si è avvalsa di pareri </w:t>
      </w:r>
      <w:r w:rsidR="000252F6" w:rsidRPr="002B7FE0">
        <w:rPr>
          <w:i/>
          <w:sz w:val="28"/>
          <w:szCs w:val="28"/>
        </w:rPr>
        <w:t>pro veritate</w:t>
      </w:r>
      <w:r w:rsidR="00ED1F8E" w:rsidRPr="002B7FE0">
        <w:rPr>
          <w:sz w:val="28"/>
          <w:szCs w:val="28"/>
        </w:rPr>
        <w:t xml:space="preserve"> presso colleghi che fossero in possesso delle necessarie competenze.</w:t>
      </w:r>
      <w:r w:rsidR="000252F6" w:rsidRPr="002B7FE0">
        <w:rPr>
          <w:sz w:val="28"/>
          <w:szCs w:val="28"/>
        </w:rPr>
        <w:t xml:space="preserve"> </w:t>
      </w:r>
    </w:p>
    <w:p w14:paraId="29616ED4" w14:textId="77777777" w:rsidR="00D344DF" w:rsidRPr="002B7FE0" w:rsidRDefault="00D344DF" w:rsidP="002B7FE0">
      <w:pPr>
        <w:jc w:val="both"/>
        <w:rPr>
          <w:i/>
          <w:sz w:val="28"/>
          <w:szCs w:val="28"/>
        </w:rPr>
      </w:pPr>
    </w:p>
    <w:p w14:paraId="19E586FF" w14:textId="0C77F189" w:rsidR="00D344DF" w:rsidRPr="002B7FE0" w:rsidRDefault="00315941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 xml:space="preserve">Esaminate le opere, la </w:t>
      </w:r>
      <w:r w:rsidR="00956D3F" w:rsidRPr="002B7FE0">
        <w:rPr>
          <w:sz w:val="28"/>
          <w:szCs w:val="28"/>
        </w:rPr>
        <w:t>G</w:t>
      </w:r>
      <w:r w:rsidRPr="002B7FE0">
        <w:rPr>
          <w:sz w:val="28"/>
          <w:szCs w:val="28"/>
        </w:rPr>
        <w:t>iuria ha ritenuto di concentrarsi su</w:t>
      </w:r>
      <w:r w:rsidR="00346929" w:rsidRPr="002B7FE0">
        <w:rPr>
          <w:sz w:val="28"/>
          <w:szCs w:val="28"/>
        </w:rPr>
        <w:t xml:space="preserve"> una rosa composta dai</w:t>
      </w:r>
      <w:r w:rsidRPr="002B7FE0">
        <w:rPr>
          <w:sz w:val="28"/>
          <w:szCs w:val="28"/>
        </w:rPr>
        <w:t xml:space="preserve"> seguenti tre volumi:</w:t>
      </w:r>
    </w:p>
    <w:p w14:paraId="6B3736D3" w14:textId="77777777" w:rsidR="000501E1" w:rsidRPr="002B7FE0" w:rsidRDefault="000501E1" w:rsidP="002B7FE0">
      <w:pPr>
        <w:jc w:val="both"/>
        <w:rPr>
          <w:sz w:val="28"/>
          <w:szCs w:val="28"/>
        </w:rPr>
      </w:pPr>
    </w:p>
    <w:p w14:paraId="48FE0226" w14:textId="5AD8958C" w:rsidR="00DC2F1E" w:rsidRPr="002B7FE0" w:rsidRDefault="00DC2F1E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 xml:space="preserve">- Krzystof </w:t>
      </w:r>
      <w:r w:rsidRPr="002A1B37">
        <w:rPr>
          <w:sz w:val="28"/>
          <w:szCs w:val="28"/>
        </w:rPr>
        <w:t>K</w:t>
      </w:r>
      <w:r w:rsidR="00D70648" w:rsidRPr="002A1B37">
        <w:rPr>
          <w:sz w:val="28"/>
          <w:szCs w:val="28"/>
        </w:rPr>
        <w:t>ARASEK</w:t>
      </w:r>
      <w:r w:rsidRPr="002B7FE0">
        <w:rPr>
          <w:sz w:val="28"/>
          <w:szCs w:val="28"/>
        </w:rPr>
        <w:t xml:space="preserve">, </w:t>
      </w:r>
      <w:r w:rsidRPr="002B7FE0">
        <w:rPr>
          <w:i/>
          <w:sz w:val="28"/>
          <w:szCs w:val="28"/>
        </w:rPr>
        <w:t>Fuochi di Bengala e altre poesie</w:t>
      </w:r>
      <w:r w:rsidRPr="002B7FE0">
        <w:rPr>
          <w:sz w:val="28"/>
          <w:szCs w:val="28"/>
        </w:rPr>
        <w:t xml:space="preserve">, a cura di </w:t>
      </w:r>
      <w:r w:rsidRPr="007740B7">
        <w:rPr>
          <w:b/>
          <w:sz w:val="28"/>
          <w:szCs w:val="28"/>
        </w:rPr>
        <w:t>Leonardo Masi</w:t>
      </w:r>
      <w:r w:rsidRPr="002B7FE0">
        <w:rPr>
          <w:sz w:val="28"/>
          <w:szCs w:val="28"/>
        </w:rPr>
        <w:t>, Il Ponte del Sale, Rovigo,</w:t>
      </w:r>
      <w:r w:rsidR="0044682D">
        <w:rPr>
          <w:sz w:val="28"/>
          <w:szCs w:val="28"/>
        </w:rPr>
        <w:t xml:space="preserve"> aprile 2011.</w:t>
      </w:r>
    </w:p>
    <w:p w14:paraId="6F29D78C" w14:textId="130C5193" w:rsidR="000D2DC9" w:rsidRPr="002B7FE0" w:rsidRDefault="000D2DC9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 xml:space="preserve">- Adrienne </w:t>
      </w:r>
      <w:r w:rsidRPr="00642560">
        <w:rPr>
          <w:sz w:val="28"/>
          <w:szCs w:val="28"/>
        </w:rPr>
        <w:t>R</w:t>
      </w:r>
      <w:r w:rsidR="00D70648" w:rsidRPr="00642560">
        <w:rPr>
          <w:sz w:val="28"/>
          <w:szCs w:val="28"/>
        </w:rPr>
        <w:t>ICH</w:t>
      </w:r>
      <w:r w:rsidRPr="002B7FE0">
        <w:rPr>
          <w:sz w:val="28"/>
          <w:szCs w:val="28"/>
        </w:rPr>
        <w:t xml:space="preserve">, </w:t>
      </w:r>
      <w:r w:rsidRPr="002B7FE0">
        <w:rPr>
          <w:i/>
          <w:sz w:val="28"/>
          <w:szCs w:val="28"/>
        </w:rPr>
        <w:t>La guida nel labirinto</w:t>
      </w:r>
      <w:r w:rsidRPr="002B7FE0">
        <w:rPr>
          <w:sz w:val="28"/>
          <w:szCs w:val="28"/>
        </w:rPr>
        <w:t xml:space="preserve">, a cura di </w:t>
      </w:r>
      <w:r w:rsidRPr="0044682D">
        <w:rPr>
          <w:b/>
          <w:sz w:val="28"/>
          <w:szCs w:val="28"/>
        </w:rPr>
        <w:t>Maria Luisa Vezzali</w:t>
      </w:r>
      <w:r w:rsidRPr="002B7FE0">
        <w:rPr>
          <w:sz w:val="28"/>
          <w:szCs w:val="28"/>
        </w:rPr>
        <w:t xml:space="preserve">, </w:t>
      </w:r>
      <w:r w:rsidR="0044682D">
        <w:rPr>
          <w:sz w:val="28"/>
          <w:szCs w:val="28"/>
        </w:rPr>
        <w:t>Crocetti Editore, Milano, 2011.</w:t>
      </w:r>
    </w:p>
    <w:p w14:paraId="7C6242C4" w14:textId="685A035E" w:rsidR="001030B1" w:rsidRPr="002B7FE0" w:rsidRDefault="001030B1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 xml:space="preserve">- Jesús </w:t>
      </w:r>
      <w:r w:rsidRPr="00642560">
        <w:rPr>
          <w:sz w:val="28"/>
          <w:szCs w:val="28"/>
        </w:rPr>
        <w:t>U</w:t>
      </w:r>
      <w:r w:rsidR="001C547A" w:rsidRPr="00642560">
        <w:rPr>
          <w:sz w:val="28"/>
          <w:szCs w:val="28"/>
        </w:rPr>
        <w:t>RZAGASTI</w:t>
      </w:r>
      <w:r w:rsidRPr="002B7FE0">
        <w:rPr>
          <w:sz w:val="28"/>
          <w:szCs w:val="28"/>
        </w:rPr>
        <w:t xml:space="preserve">, </w:t>
      </w:r>
      <w:r w:rsidRPr="002B7FE0">
        <w:rPr>
          <w:i/>
          <w:sz w:val="28"/>
          <w:szCs w:val="28"/>
        </w:rPr>
        <w:t>L</w:t>
      </w:r>
      <w:r w:rsidR="00EB1A22">
        <w:rPr>
          <w:i/>
          <w:sz w:val="28"/>
          <w:szCs w:val="28"/>
        </w:rPr>
        <w:t>’</w:t>
      </w:r>
      <w:r w:rsidRPr="002B7FE0">
        <w:rPr>
          <w:i/>
          <w:sz w:val="28"/>
          <w:szCs w:val="28"/>
        </w:rPr>
        <w:t>albero della tribù</w:t>
      </w:r>
      <w:r w:rsidRPr="002B7FE0">
        <w:rPr>
          <w:sz w:val="28"/>
          <w:szCs w:val="28"/>
        </w:rPr>
        <w:t xml:space="preserve">, tradd. di </w:t>
      </w:r>
      <w:r w:rsidRPr="00AD7C69">
        <w:rPr>
          <w:b/>
          <w:sz w:val="28"/>
          <w:szCs w:val="28"/>
        </w:rPr>
        <w:t>Claudio Cinti</w:t>
      </w:r>
      <w:r w:rsidRPr="002B7FE0">
        <w:rPr>
          <w:sz w:val="28"/>
          <w:szCs w:val="28"/>
        </w:rPr>
        <w:t xml:space="preserve"> e </w:t>
      </w:r>
      <w:r w:rsidRPr="00AD7C69">
        <w:rPr>
          <w:b/>
          <w:sz w:val="28"/>
          <w:szCs w:val="28"/>
        </w:rPr>
        <w:t>Silvia Raccampo</w:t>
      </w:r>
      <w:r w:rsidRPr="002B7FE0">
        <w:rPr>
          <w:sz w:val="28"/>
          <w:szCs w:val="28"/>
        </w:rPr>
        <w:t>, Il Ponte del Sale, Rovigo, m</w:t>
      </w:r>
      <w:r w:rsidR="007A6D5B">
        <w:rPr>
          <w:sz w:val="28"/>
          <w:szCs w:val="28"/>
        </w:rPr>
        <w:t>arzo 2012.</w:t>
      </w:r>
    </w:p>
    <w:p w14:paraId="03348E87" w14:textId="246CF7A6" w:rsidR="00315941" w:rsidRPr="002B7FE0" w:rsidRDefault="00315941" w:rsidP="002B7FE0">
      <w:pPr>
        <w:jc w:val="both"/>
        <w:rPr>
          <w:sz w:val="28"/>
          <w:szCs w:val="28"/>
        </w:rPr>
      </w:pPr>
    </w:p>
    <w:p w14:paraId="662B3E0F" w14:textId="0AB6F89A" w:rsidR="00D344DF" w:rsidRPr="002B7FE0" w:rsidRDefault="00346929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>Dopo una ulteriore definitiva rilettura</w:t>
      </w:r>
      <w:r w:rsidR="00FE429C" w:rsidRPr="002B7FE0">
        <w:rPr>
          <w:sz w:val="28"/>
          <w:szCs w:val="28"/>
        </w:rPr>
        <w:t xml:space="preserve">, </w:t>
      </w:r>
      <w:r w:rsidR="00B30CD0" w:rsidRPr="002B7FE0">
        <w:rPr>
          <w:sz w:val="28"/>
          <w:szCs w:val="28"/>
        </w:rPr>
        <w:t>la Giuria ha deciso di assegnare il PREMIO PER LA TRADUZIONE POETICA a</w:t>
      </w:r>
      <w:r w:rsidR="00651066" w:rsidRPr="002B7FE0">
        <w:rPr>
          <w:sz w:val="28"/>
          <w:szCs w:val="28"/>
        </w:rPr>
        <w:t xml:space="preserve"> </w:t>
      </w:r>
      <w:r w:rsidR="00775A3C" w:rsidRPr="002B7FE0">
        <w:rPr>
          <w:b/>
          <w:sz w:val="28"/>
          <w:szCs w:val="28"/>
        </w:rPr>
        <w:t>Maria Luisa Vezzali</w:t>
      </w:r>
      <w:r w:rsidR="00651066" w:rsidRPr="002B7FE0">
        <w:rPr>
          <w:sz w:val="28"/>
          <w:szCs w:val="28"/>
        </w:rPr>
        <w:t xml:space="preserve"> </w:t>
      </w:r>
      <w:r w:rsidR="00B30CD0" w:rsidRPr="002B7FE0">
        <w:rPr>
          <w:sz w:val="28"/>
          <w:szCs w:val="28"/>
        </w:rPr>
        <w:t xml:space="preserve">per la traduzione di </w:t>
      </w:r>
      <w:r w:rsidR="00775A3C" w:rsidRPr="002B7FE0">
        <w:rPr>
          <w:i/>
          <w:sz w:val="28"/>
          <w:szCs w:val="28"/>
        </w:rPr>
        <w:t>La guida nel labirinto</w:t>
      </w:r>
      <w:r w:rsidR="00B30CD0" w:rsidRPr="002B7FE0">
        <w:rPr>
          <w:sz w:val="28"/>
          <w:szCs w:val="28"/>
        </w:rPr>
        <w:t xml:space="preserve">, </w:t>
      </w:r>
      <w:r w:rsidR="00775A3C" w:rsidRPr="002B7FE0">
        <w:rPr>
          <w:sz w:val="28"/>
          <w:szCs w:val="28"/>
        </w:rPr>
        <w:t>Crocetti</w:t>
      </w:r>
      <w:r w:rsidR="00B30CD0" w:rsidRPr="002B7FE0">
        <w:rPr>
          <w:sz w:val="28"/>
          <w:szCs w:val="28"/>
        </w:rPr>
        <w:t xml:space="preserve"> Editore, </w:t>
      </w:r>
      <w:r w:rsidR="00775A3C" w:rsidRPr="002B7FE0">
        <w:rPr>
          <w:sz w:val="28"/>
          <w:szCs w:val="28"/>
        </w:rPr>
        <w:t>Milano 2011</w:t>
      </w:r>
      <w:r w:rsidR="004543BB">
        <w:rPr>
          <w:sz w:val="28"/>
          <w:szCs w:val="28"/>
        </w:rPr>
        <w:t>.</w:t>
      </w:r>
    </w:p>
    <w:p w14:paraId="53E68BF0" w14:textId="77777777" w:rsidR="0040208E" w:rsidRPr="002B7FE0" w:rsidRDefault="0040208E" w:rsidP="002B7FE0">
      <w:pPr>
        <w:jc w:val="both"/>
        <w:rPr>
          <w:sz w:val="28"/>
          <w:szCs w:val="28"/>
        </w:rPr>
      </w:pPr>
    </w:p>
    <w:p w14:paraId="64EBD8E4" w14:textId="23D9A291" w:rsidR="00693D68" w:rsidRPr="002B7FE0" w:rsidRDefault="0040208E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>La Giuria ha altresì ritenuto di segnalare come particolarmente meritevoli i lavori di</w:t>
      </w:r>
      <w:r w:rsidR="00DE077C" w:rsidRPr="002B7FE0">
        <w:rPr>
          <w:sz w:val="28"/>
          <w:szCs w:val="28"/>
        </w:rPr>
        <w:t xml:space="preserve"> </w:t>
      </w:r>
      <w:r w:rsidR="00DE077C" w:rsidRPr="00FF2E27">
        <w:rPr>
          <w:b/>
          <w:sz w:val="28"/>
          <w:szCs w:val="28"/>
        </w:rPr>
        <w:t xml:space="preserve">Leonardo </w:t>
      </w:r>
      <w:r w:rsidR="00DE077C" w:rsidRPr="00B65670">
        <w:rPr>
          <w:b/>
          <w:sz w:val="28"/>
          <w:szCs w:val="28"/>
        </w:rPr>
        <w:t>Masi</w:t>
      </w:r>
      <w:r w:rsidR="00693D68" w:rsidRPr="002B7FE0">
        <w:rPr>
          <w:sz w:val="28"/>
          <w:szCs w:val="28"/>
        </w:rPr>
        <w:t xml:space="preserve"> </w:t>
      </w:r>
      <w:r w:rsidR="00DE077C" w:rsidRPr="002B7FE0">
        <w:rPr>
          <w:sz w:val="28"/>
          <w:szCs w:val="28"/>
        </w:rPr>
        <w:t xml:space="preserve">(per la traduzione di </w:t>
      </w:r>
      <w:r w:rsidR="004908EB" w:rsidRPr="002B7FE0">
        <w:rPr>
          <w:i/>
          <w:sz w:val="28"/>
          <w:szCs w:val="28"/>
        </w:rPr>
        <w:t>Fuochi di Bengala e altre poesie</w:t>
      </w:r>
      <w:r w:rsidR="004908EB" w:rsidRPr="002B7FE0">
        <w:rPr>
          <w:sz w:val="28"/>
          <w:szCs w:val="28"/>
        </w:rPr>
        <w:t xml:space="preserve"> </w:t>
      </w:r>
      <w:r w:rsidR="004908EB">
        <w:rPr>
          <w:sz w:val="28"/>
          <w:szCs w:val="28"/>
        </w:rPr>
        <w:t xml:space="preserve">di </w:t>
      </w:r>
      <w:r w:rsidR="006F5C0A">
        <w:rPr>
          <w:sz w:val="28"/>
          <w:szCs w:val="28"/>
        </w:rPr>
        <w:t>Krzystof Karasek</w:t>
      </w:r>
      <w:r w:rsidR="00DE077C" w:rsidRPr="002B7FE0">
        <w:rPr>
          <w:sz w:val="28"/>
          <w:szCs w:val="28"/>
        </w:rPr>
        <w:t xml:space="preserve">) </w:t>
      </w:r>
      <w:r w:rsidR="00C11613" w:rsidRPr="002B7FE0">
        <w:rPr>
          <w:sz w:val="28"/>
          <w:szCs w:val="28"/>
        </w:rPr>
        <w:t xml:space="preserve">e </w:t>
      </w:r>
      <w:r w:rsidR="00C11613" w:rsidRPr="007C545A">
        <w:rPr>
          <w:b/>
          <w:sz w:val="28"/>
          <w:szCs w:val="28"/>
        </w:rPr>
        <w:t>Claudio Cinti</w:t>
      </w:r>
      <w:r w:rsidR="00C11613" w:rsidRPr="002B7FE0">
        <w:rPr>
          <w:sz w:val="28"/>
          <w:szCs w:val="28"/>
        </w:rPr>
        <w:t xml:space="preserve"> e </w:t>
      </w:r>
      <w:r w:rsidR="00C11613" w:rsidRPr="00C73579">
        <w:rPr>
          <w:b/>
          <w:sz w:val="28"/>
          <w:szCs w:val="28"/>
        </w:rPr>
        <w:t>Silvia</w:t>
      </w:r>
      <w:r w:rsidR="00C11613" w:rsidRPr="002B7FE0">
        <w:rPr>
          <w:sz w:val="28"/>
          <w:szCs w:val="28"/>
        </w:rPr>
        <w:t xml:space="preserve"> </w:t>
      </w:r>
      <w:r w:rsidR="00C11613" w:rsidRPr="009F6528">
        <w:rPr>
          <w:b/>
          <w:sz w:val="28"/>
          <w:szCs w:val="28"/>
        </w:rPr>
        <w:t>Raccampo</w:t>
      </w:r>
      <w:r w:rsidR="00C11613" w:rsidRPr="002B7FE0">
        <w:rPr>
          <w:sz w:val="28"/>
          <w:szCs w:val="28"/>
        </w:rPr>
        <w:t xml:space="preserve"> </w:t>
      </w:r>
      <w:r w:rsidR="00493965" w:rsidRPr="002B7FE0">
        <w:rPr>
          <w:sz w:val="28"/>
          <w:szCs w:val="28"/>
        </w:rPr>
        <w:t>(</w:t>
      </w:r>
      <w:r w:rsidR="00575678" w:rsidRPr="002B7FE0">
        <w:rPr>
          <w:sz w:val="28"/>
          <w:szCs w:val="28"/>
        </w:rPr>
        <w:t>per la traduzione</w:t>
      </w:r>
      <w:r w:rsidR="00890414">
        <w:rPr>
          <w:sz w:val="28"/>
          <w:szCs w:val="28"/>
        </w:rPr>
        <w:t xml:space="preserve"> de </w:t>
      </w:r>
      <w:r w:rsidR="00C11613" w:rsidRPr="002B7FE0">
        <w:rPr>
          <w:i/>
          <w:sz w:val="28"/>
          <w:szCs w:val="28"/>
        </w:rPr>
        <w:t>L</w:t>
      </w:r>
      <w:r w:rsidR="00EB1A22">
        <w:rPr>
          <w:i/>
          <w:sz w:val="28"/>
          <w:szCs w:val="28"/>
        </w:rPr>
        <w:t>’</w:t>
      </w:r>
      <w:r w:rsidR="00C11613" w:rsidRPr="002B7FE0">
        <w:rPr>
          <w:i/>
          <w:sz w:val="28"/>
          <w:szCs w:val="28"/>
        </w:rPr>
        <w:t>albero della tribù</w:t>
      </w:r>
      <w:r w:rsidR="00C11613" w:rsidRPr="002B7FE0">
        <w:rPr>
          <w:sz w:val="28"/>
          <w:szCs w:val="28"/>
        </w:rPr>
        <w:t xml:space="preserve"> </w:t>
      </w:r>
      <w:r w:rsidR="00890414" w:rsidRPr="002B7FE0">
        <w:rPr>
          <w:sz w:val="28"/>
          <w:szCs w:val="28"/>
        </w:rPr>
        <w:t>di Jesús Urzagasti</w:t>
      </w:r>
      <w:r w:rsidR="007C49EC" w:rsidRPr="002B7FE0">
        <w:rPr>
          <w:sz w:val="28"/>
          <w:szCs w:val="28"/>
        </w:rPr>
        <w:t>)</w:t>
      </w:r>
      <w:r w:rsidR="00693D68" w:rsidRPr="002B7FE0">
        <w:rPr>
          <w:sz w:val="28"/>
          <w:szCs w:val="28"/>
        </w:rPr>
        <w:t>.</w:t>
      </w:r>
    </w:p>
    <w:p w14:paraId="46EC9458" w14:textId="77777777" w:rsidR="00693D68" w:rsidRPr="002B7FE0" w:rsidRDefault="00693D68" w:rsidP="002B7FE0">
      <w:pPr>
        <w:jc w:val="both"/>
        <w:rPr>
          <w:sz w:val="28"/>
          <w:szCs w:val="28"/>
        </w:rPr>
      </w:pPr>
    </w:p>
    <w:p w14:paraId="25959F70" w14:textId="77777777" w:rsidR="008F3033" w:rsidRPr="002B7FE0" w:rsidRDefault="008F3033" w:rsidP="002B7FE0">
      <w:pPr>
        <w:jc w:val="both"/>
        <w:rPr>
          <w:sz w:val="28"/>
          <w:szCs w:val="28"/>
        </w:rPr>
      </w:pPr>
    </w:p>
    <w:p w14:paraId="2AC1DD48" w14:textId="1309042D" w:rsidR="002C05C1" w:rsidRPr="002B7FE0" w:rsidRDefault="002C05C1" w:rsidP="002B7FE0">
      <w:pPr>
        <w:ind w:left="4956" w:firstLine="708"/>
        <w:jc w:val="both"/>
        <w:rPr>
          <w:sz w:val="28"/>
          <w:szCs w:val="28"/>
        </w:rPr>
      </w:pPr>
      <w:r w:rsidRPr="002B7FE0">
        <w:rPr>
          <w:sz w:val="28"/>
          <w:szCs w:val="28"/>
        </w:rPr>
        <w:t xml:space="preserve">Bologna, </w:t>
      </w:r>
      <w:r w:rsidR="001A16F1" w:rsidRPr="001A16F1">
        <w:rPr>
          <w:sz w:val="28"/>
          <w:szCs w:val="28"/>
        </w:rPr>
        <w:t>6 giugno</w:t>
      </w:r>
      <w:r w:rsidRPr="001A16F1">
        <w:rPr>
          <w:sz w:val="28"/>
          <w:szCs w:val="28"/>
        </w:rPr>
        <w:t xml:space="preserve"> 201</w:t>
      </w:r>
      <w:r w:rsidR="00B663BC" w:rsidRPr="001A16F1">
        <w:rPr>
          <w:sz w:val="28"/>
          <w:szCs w:val="28"/>
        </w:rPr>
        <w:t>3</w:t>
      </w:r>
    </w:p>
    <w:p w14:paraId="6A52CB20" w14:textId="77777777" w:rsidR="002C05C1" w:rsidRPr="002B7FE0" w:rsidRDefault="002C05C1" w:rsidP="002B7FE0">
      <w:pPr>
        <w:jc w:val="both"/>
        <w:rPr>
          <w:sz w:val="28"/>
          <w:szCs w:val="28"/>
        </w:rPr>
      </w:pPr>
    </w:p>
    <w:p w14:paraId="31A2C96D" w14:textId="77777777" w:rsidR="002C05C1" w:rsidRPr="002B7FE0" w:rsidRDefault="002C05C1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>Stefano Arduini</w:t>
      </w:r>
    </w:p>
    <w:p w14:paraId="6ED078B3" w14:textId="77777777" w:rsidR="002C05C1" w:rsidRPr="002B7FE0" w:rsidRDefault="002C05C1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>Andrea Ceccherelli</w:t>
      </w:r>
    </w:p>
    <w:p w14:paraId="6627216A" w14:textId="77777777" w:rsidR="002C05C1" w:rsidRPr="002B7FE0" w:rsidRDefault="002C05C1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>Paola Maria Filippi</w:t>
      </w:r>
    </w:p>
    <w:p w14:paraId="2BE6B172" w14:textId="77777777" w:rsidR="002C05C1" w:rsidRPr="002B7FE0" w:rsidRDefault="002C05C1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>Giovanni Gentile Marchetti</w:t>
      </w:r>
    </w:p>
    <w:p w14:paraId="1E9AE932" w14:textId="77777777" w:rsidR="002C05C1" w:rsidRPr="002B7FE0" w:rsidRDefault="002C05C1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>Roberto Mulinacci</w:t>
      </w:r>
    </w:p>
    <w:p w14:paraId="5EE05BFF" w14:textId="77777777" w:rsidR="002C05C1" w:rsidRPr="002B7FE0" w:rsidRDefault="002C05C1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>Alessandro Niero</w:t>
      </w:r>
    </w:p>
    <w:p w14:paraId="4A69066E" w14:textId="77777777" w:rsidR="002C05C1" w:rsidRPr="002B7FE0" w:rsidRDefault="002C05C1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>Davide Rondoni</w:t>
      </w:r>
    </w:p>
    <w:p w14:paraId="3A119888" w14:textId="77777777" w:rsidR="002C05C1" w:rsidRPr="002B7FE0" w:rsidRDefault="002C05C1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>Gino Scatasta</w:t>
      </w:r>
    </w:p>
    <w:p w14:paraId="7BBA3D1A" w14:textId="6F5AACC7" w:rsidR="006767DA" w:rsidRDefault="002C05C1" w:rsidP="002B7FE0">
      <w:pPr>
        <w:jc w:val="both"/>
        <w:rPr>
          <w:sz w:val="28"/>
          <w:szCs w:val="28"/>
        </w:rPr>
      </w:pPr>
      <w:r w:rsidRPr="002B7FE0">
        <w:rPr>
          <w:sz w:val="28"/>
          <w:szCs w:val="28"/>
        </w:rPr>
        <w:t>Anna Soncini</w:t>
      </w:r>
    </w:p>
    <w:p w14:paraId="31886E7A" w14:textId="77777777" w:rsidR="000E593E" w:rsidRPr="00440672" w:rsidRDefault="000E593E" w:rsidP="000E593E">
      <w:pPr>
        <w:jc w:val="both"/>
        <w:rPr>
          <w:sz w:val="28"/>
          <w:szCs w:val="28"/>
        </w:rPr>
      </w:pPr>
    </w:p>
    <w:p w14:paraId="5A0319F5" w14:textId="77777777" w:rsidR="000E593E" w:rsidRPr="00440672" w:rsidRDefault="000E593E" w:rsidP="000E593E">
      <w:pPr>
        <w:jc w:val="both"/>
        <w:rPr>
          <w:sz w:val="28"/>
          <w:szCs w:val="28"/>
        </w:rPr>
      </w:pPr>
      <w:r w:rsidRPr="00440672">
        <w:rPr>
          <w:noProof/>
          <w:sz w:val="28"/>
          <w:szCs w:val="28"/>
        </w:rPr>
        <w:drawing>
          <wp:inline distT="0" distB="0" distL="0" distR="0" wp14:anchorId="4407AB76" wp14:editId="7549B770">
            <wp:extent cx="899963" cy="723568"/>
            <wp:effectExtent l="19050" t="0" r="0" b="0"/>
            <wp:docPr id="2" name="Immagine 2" descr="C:\Documents and Settings\Administrator\Desktop\logo 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logo cent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21" cy="72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72">
        <w:rPr>
          <w:noProof/>
          <w:sz w:val="28"/>
          <w:szCs w:val="28"/>
        </w:rPr>
        <w:drawing>
          <wp:inline distT="0" distB="0" distL="0" distR="0" wp14:anchorId="280F4145" wp14:editId="6C47B806">
            <wp:extent cx="1008877" cy="726960"/>
            <wp:effectExtent l="19050" t="0" r="773" b="0"/>
            <wp:docPr id="3" name="Immagine 3" descr="C:\Documents and Settings\Administrator\Desktop\Premio Traduzione\diplingue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Premio Traduzione\diplingue-n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48" cy="72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72">
        <w:rPr>
          <w:noProof/>
          <w:sz w:val="28"/>
          <w:szCs w:val="28"/>
        </w:rPr>
        <w:drawing>
          <wp:inline distT="0" distB="0" distL="0" distR="0" wp14:anchorId="166BB4B8" wp14:editId="3D00B81B">
            <wp:extent cx="1614446" cy="407225"/>
            <wp:effectExtent l="19050" t="0" r="4804" b="0"/>
            <wp:docPr id="1" name="Immagine 1" descr="C:\Documents and Settings\Administrator\Desktop\Premio Traduzione\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Premio Traduzione\Nuova immag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76" cy="41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A32326" w14:textId="77777777" w:rsidR="000E593E" w:rsidRPr="002B7FE0" w:rsidRDefault="000E593E" w:rsidP="002B7FE0">
      <w:pPr>
        <w:jc w:val="both"/>
        <w:rPr>
          <w:sz w:val="28"/>
          <w:szCs w:val="28"/>
        </w:rPr>
      </w:pPr>
    </w:p>
    <w:sectPr w:rsidR="000E593E" w:rsidRPr="002B7FE0" w:rsidSect="00886C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279CA" w14:textId="77777777" w:rsidR="00140A1A" w:rsidRDefault="00140A1A" w:rsidP="00886CA4">
      <w:r>
        <w:separator/>
      </w:r>
    </w:p>
  </w:endnote>
  <w:endnote w:type="continuationSeparator" w:id="0">
    <w:p w14:paraId="4DDD1347" w14:textId="77777777" w:rsidR="00140A1A" w:rsidRDefault="00140A1A" w:rsidP="0088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E2C99" w14:textId="77777777" w:rsidR="00140A1A" w:rsidRDefault="00140A1A" w:rsidP="00140A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8CD044" w14:textId="77777777" w:rsidR="00140A1A" w:rsidRDefault="00140A1A" w:rsidP="000E7E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C0DF" w14:textId="77777777" w:rsidR="00140A1A" w:rsidRDefault="00140A1A" w:rsidP="00140A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1F8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A7F5A2A" w14:textId="77777777" w:rsidR="00140A1A" w:rsidRDefault="00140A1A" w:rsidP="000E7EC0">
    <w:pPr>
      <w:pStyle w:val="Intestazione"/>
      <w:tabs>
        <w:tab w:val="left" w:pos="1035"/>
      </w:tabs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1B592" w14:textId="77777777" w:rsidR="00140A1A" w:rsidRPr="00926CA3" w:rsidRDefault="00140A1A" w:rsidP="001C4E27">
    <w:pPr>
      <w:pStyle w:val="Intestazione"/>
      <w:tabs>
        <w:tab w:val="left" w:pos="103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69218" w14:textId="77777777" w:rsidR="00140A1A" w:rsidRDefault="00140A1A" w:rsidP="00886CA4">
      <w:r>
        <w:separator/>
      </w:r>
    </w:p>
  </w:footnote>
  <w:footnote w:type="continuationSeparator" w:id="0">
    <w:p w14:paraId="4C522423" w14:textId="77777777" w:rsidR="00140A1A" w:rsidRDefault="00140A1A" w:rsidP="00886C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402E5" w14:textId="77777777" w:rsidR="00140A1A" w:rsidRDefault="00140A1A" w:rsidP="00817083">
    <w:pPr>
      <w:pStyle w:val="Intestazione"/>
      <w:tabs>
        <w:tab w:val="left" w:pos="1035"/>
      </w:tabs>
      <w:rPr>
        <w:lang w:val="en-GB"/>
      </w:rPr>
    </w:pPr>
  </w:p>
  <w:p w14:paraId="354FEE8C" w14:textId="77777777" w:rsidR="00140A1A" w:rsidRPr="00767393" w:rsidRDefault="00140A1A" w:rsidP="00817083">
    <w:pPr>
      <w:pStyle w:val="Intestazione"/>
      <w:tabs>
        <w:tab w:val="left" w:pos="1035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A3AF" w14:textId="77777777" w:rsidR="00140A1A" w:rsidRPr="0057104D" w:rsidRDefault="00140A1A" w:rsidP="00817083">
    <w:pPr>
      <w:pStyle w:val="Intestazione"/>
      <w:tabs>
        <w:tab w:val="clear" w:pos="4819"/>
        <w:tab w:val="clear" w:pos="9638"/>
        <w:tab w:val="left" w:pos="4125"/>
      </w:tabs>
      <w:rPr>
        <w:i/>
      </w:rPr>
    </w:pPr>
  </w:p>
  <w:p w14:paraId="6D44483D" w14:textId="77777777" w:rsidR="00140A1A" w:rsidRDefault="00140A1A" w:rsidP="00817083">
    <w:pPr>
      <w:pStyle w:val="Intestazione"/>
      <w:tabs>
        <w:tab w:val="clear" w:pos="4819"/>
        <w:tab w:val="clear" w:pos="9638"/>
        <w:tab w:val="left" w:pos="412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7B20"/>
    <w:multiLevelType w:val="hybridMultilevel"/>
    <w:tmpl w:val="DA384EB6"/>
    <w:lvl w:ilvl="0" w:tplc="1B0E51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5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CA4"/>
    <w:rsid w:val="00006934"/>
    <w:rsid w:val="00007BAB"/>
    <w:rsid w:val="000252F6"/>
    <w:rsid w:val="00034ECF"/>
    <w:rsid w:val="000501E1"/>
    <w:rsid w:val="0008247C"/>
    <w:rsid w:val="0008395D"/>
    <w:rsid w:val="000C46A3"/>
    <w:rsid w:val="000D2DC9"/>
    <w:rsid w:val="000E593E"/>
    <w:rsid w:val="000E7EC0"/>
    <w:rsid w:val="001030B1"/>
    <w:rsid w:val="00135B78"/>
    <w:rsid w:val="00140A1A"/>
    <w:rsid w:val="00141297"/>
    <w:rsid w:val="00142BC7"/>
    <w:rsid w:val="00162589"/>
    <w:rsid w:val="0017504F"/>
    <w:rsid w:val="00193184"/>
    <w:rsid w:val="001975CB"/>
    <w:rsid w:val="001A16F1"/>
    <w:rsid w:val="001B5E54"/>
    <w:rsid w:val="001C006B"/>
    <w:rsid w:val="001C4E27"/>
    <w:rsid w:val="001C547A"/>
    <w:rsid w:val="001F7999"/>
    <w:rsid w:val="00216057"/>
    <w:rsid w:val="00231B8D"/>
    <w:rsid w:val="00241EB2"/>
    <w:rsid w:val="002A1B37"/>
    <w:rsid w:val="002A1CE2"/>
    <w:rsid w:val="002A5E96"/>
    <w:rsid w:val="002B7FE0"/>
    <w:rsid w:val="002C05C1"/>
    <w:rsid w:val="00315941"/>
    <w:rsid w:val="003232D4"/>
    <w:rsid w:val="00344EE3"/>
    <w:rsid w:val="00346929"/>
    <w:rsid w:val="00351933"/>
    <w:rsid w:val="003A21E9"/>
    <w:rsid w:val="003F3C74"/>
    <w:rsid w:val="0040208E"/>
    <w:rsid w:val="00413EF9"/>
    <w:rsid w:val="0041429C"/>
    <w:rsid w:val="00416045"/>
    <w:rsid w:val="00432727"/>
    <w:rsid w:val="0044682D"/>
    <w:rsid w:val="00447F48"/>
    <w:rsid w:val="004543BB"/>
    <w:rsid w:val="00487C5D"/>
    <w:rsid w:val="00487DBB"/>
    <w:rsid w:val="004908EB"/>
    <w:rsid w:val="00492977"/>
    <w:rsid w:val="00493965"/>
    <w:rsid w:val="00496A70"/>
    <w:rsid w:val="0053303F"/>
    <w:rsid w:val="00541209"/>
    <w:rsid w:val="0056131D"/>
    <w:rsid w:val="0057024F"/>
    <w:rsid w:val="0057104D"/>
    <w:rsid w:val="0057353D"/>
    <w:rsid w:val="00575678"/>
    <w:rsid w:val="00577009"/>
    <w:rsid w:val="005A3D05"/>
    <w:rsid w:val="005B579F"/>
    <w:rsid w:val="005E1060"/>
    <w:rsid w:val="005F1ED7"/>
    <w:rsid w:val="00600614"/>
    <w:rsid w:val="00642560"/>
    <w:rsid w:val="00651066"/>
    <w:rsid w:val="00664C46"/>
    <w:rsid w:val="00675619"/>
    <w:rsid w:val="006767DA"/>
    <w:rsid w:val="00693D68"/>
    <w:rsid w:val="006A0CB7"/>
    <w:rsid w:val="006A42E7"/>
    <w:rsid w:val="006D1DF2"/>
    <w:rsid w:val="006D7EFD"/>
    <w:rsid w:val="006E3EEF"/>
    <w:rsid w:val="006F5C0A"/>
    <w:rsid w:val="0070155E"/>
    <w:rsid w:val="00723F35"/>
    <w:rsid w:val="007740B7"/>
    <w:rsid w:val="00775A3C"/>
    <w:rsid w:val="007825B7"/>
    <w:rsid w:val="0078386C"/>
    <w:rsid w:val="007923F9"/>
    <w:rsid w:val="007A6D5B"/>
    <w:rsid w:val="007C0522"/>
    <w:rsid w:val="007C49EC"/>
    <w:rsid w:val="007C545A"/>
    <w:rsid w:val="007F4909"/>
    <w:rsid w:val="00806E80"/>
    <w:rsid w:val="00817083"/>
    <w:rsid w:val="00856FED"/>
    <w:rsid w:val="008778CD"/>
    <w:rsid w:val="00886CA4"/>
    <w:rsid w:val="00890414"/>
    <w:rsid w:val="008A58EA"/>
    <w:rsid w:val="008B5022"/>
    <w:rsid w:val="008C77DB"/>
    <w:rsid w:val="008D5183"/>
    <w:rsid w:val="008E4114"/>
    <w:rsid w:val="008F3033"/>
    <w:rsid w:val="00932CCB"/>
    <w:rsid w:val="00956D3F"/>
    <w:rsid w:val="009578F5"/>
    <w:rsid w:val="00970114"/>
    <w:rsid w:val="00994D6E"/>
    <w:rsid w:val="009F6528"/>
    <w:rsid w:val="00A078C8"/>
    <w:rsid w:val="00A349A4"/>
    <w:rsid w:val="00A420FC"/>
    <w:rsid w:val="00A429F9"/>
    <w:rsid w:val="00A56C6C"/>
    <w:rsid w:val="00A71F80"/>
    <w:rsid w:val="00AB4CE7"/>
    <w:rsid w:val="00AB5121"/>
    <w:rsid w:val="00AB6B47"/>
    <w:rsid w:val="00AD16D5"/>
    <w:rsid w:val="00AD7C69"/>
    <w:rsid w:val="00B30CD0"/>
    <w:rsid w:val="00B65670"/>
    <w:rsid w:val="00B663BC"/>
    <w:rsid w:val="00BC6354"/>
    <w:rsid w:val="00BD06BA"/>
    <w:rsid w:val="00BE4CD6"/>
    <w:rsid w:val="00BE7E89"/>
    <w:rsid w:val="00C11613"/>
    <w:rsid w:val="00C16304"/>
    <w:rsid w:val="00C5275E"/>
    <w:rsid w:val="00C531F0"/>
    <w:rsid w:val="00C71045"/>
    <w:rsid w:val="00C73579"/>
    <w:rsid w:val="00C75A12"/>
    <w:rsid w:val="00CA3A72"/>
    <w:rsid w:val="00CA48C0"/>
    <w:rsid w:val="00CA63EA"/>
    <w:rsid w:val="00CC32CE"/>
    <w:rsid w:val="00CD4052"/>
    <w:rsid w:val="00CF2487"/>
    <w:rsid w:val="00D02880"/>
    <w:rsid w:val="00D21B93"/>
    <w:rsid w:val="00D344DF"/>
    <w:rsid w:val="00D42F0D"/>
    <w:rsid w:val="00D46ACA"/>
    <w:rsid w:val="00D50D5F"/>
    <w:rsid w:val="00D526C4"/>
    <w:rsid w:val="00D60A2F"/>
    <w:rsid w:val="00D65501"/>
    <w:rsid w:val="00D66779"/>
    <w:rsid w:val="00D70648"/>
    <w:rsid w:val="00D74C2E"/>
    <w:rsid w:val="00DC2F1E"/>
    <w:rsid w:val="00DE0729"/>
    <w:rsid w:val="00DE077C"/>
    <w:rsid w:val="00DE6581"/>
    <w:rsid w:val="00DE6CAC"/>
    <w:rsid w:val="00DF1EE4"/>
    <w:rsid w:val="00DF785F"/>
    <w:rsid w:val="00E00564"/>
    <w:rsid w:val="00E26584"/>
    <w:rsid w:val="00E26C23"/>
    <w:rsid w:val="00EB1A22"/>
    <w:rsid w:val="00EC55F3"/>
    <w:rsid w:val="00ED1F8E"/>
    <w:rsid w:val="00EF377E"/>
    <w:rsid w:val="00F023B5"/>
    <w:rsid w:val="00F02528"/>
    <w:rsid w:val="00F4148A"/>
    <w:rsid w:val="00F4178A"/>
    <w:rsid w:val="00F44AAC"/>
    <w:rsid w:val="00F9463A"/>
    <w:rsid w:val="00FB5DD8"/>
    <w:rsid w:val="00FC6DF5"/>
    <w:rsid w:val="00FD132F"/>
    <w:rsid w:val="00FE429C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9A0F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86C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886CA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rsid w:val="00886CA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86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86CA4"/>
    <w:pPr>
      <w:spacing w:before="100" w:beforeAutospacing="1" w:after="100" w:afterAutospacing="1"/>
    </w:pPr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886C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6C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4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F2487"/>
    <w:rPr>
      <w:rFonts w:ascii="Tahoma" w:eastAsia="Times New Roman" w:hAnsi="Tahoma" w:cs="Tahoma"/>
      <w:sz w:val="16"/>
      <w:szCs w:val="16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0E7E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61AA-1236-3F48-8331-B0764067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553</Words>
  <Characters>3153</Characters>
  <Application>Microsoft Macintosh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Niero</cp:lastModifiedBy>
  <cp:revision>146</cp:revision>
  <cp:lastPrinted>2014-06-18T15:18:00Z</cp:lastPrinted>
  <dcterms:created xsi:type="dcterms:W3CDTF">2013-06-04T15:09:00Z</dcterms:created>
  <dcterms:modified xsi:type="dcterms:W3CDTF">2016-12-21T14:48:00Z</dcterms:modified>
</cp:coreProperties>
</file>